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B55AA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60" w:beforeAutospacing="0" w:after="60" w:afterAutospacing="0" w:line="560" w:lineRule="exact"/>
        <w:ind w:left="60" w:right="60" w:firstLine="0"/>
        <w:jc w:val="center"/>
        <w:textAlignment w:val="auto"/>
        <w:rPr>
          <w:rFonts w:ascii="仿宋" w:hAnsi="仿宋" w:eastAsia="仿宋" w:cs="仿宋"/>
          <w:i w:val="0"/>
          <w:iCs w:val="0"/>
          <w:caps w:val="0"/>
          <w:color w:val="333333"/>
          <w:spacing w:val="0"/>
          <w:sz w:val="27"/>
          <w:szCs w:val="27"/>
        </w:rPr>
      </w:pPr>
      <w:r>
        <w:rPr>
          <w:rStyle w:val="5"/>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晋城市国有建设用地使用权出让网上挂牌公告</w:t>
      </w:r>
    </w:p>
    <w:p w14:paraId="72108E7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60" w:beforeAutospacing="0" w:after="150" w:afterAutospacing="0" w:line="560" w:lineRule="exact"/>
        <w:ind w:left="0" w:right="0" w:firstLine="0"/>
        <w:jc w:val="center"/>
        <w:textAlignment w:val="auto"/>
        <w:rPr>
          <w:rFonts w:hint="eastAsia" w:ascii="仿宋" w:hAnsi="仿宋" w:eastAsia="仿宋" w:cs="仿宋"/>
          <w:i w:val="0"/>
          <w:iCs w:val="0"/>
          <w:caps w:val="0"/>
          <w:color w:val="333333"/>
          <w:spacing w:val="0"/>
          <w:sz w:val="27"/>
          <w:szCs w:val="27"/>
        </w:rPr>
      </w:pPr>
      <w:bookmarkStart w:id="0" w:name="_GoBack"/>
      <w:r>
        <w:rPr>
          <w:rStyle w:val="5"/>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w:t>
      </w:r>
      <w:r>
        <w:rPr>
          <w:rStyle w:val="5"/>
          <w:rFonts w:hint="eastAsia" w:ascii="仿宋" w:hAnsi="仿宋" w:eastAsia="仿宋" w:cs="仿宋"/>
          <w:i w:val="0"/>
          <w:iCs w:val="0"/>
          <w:caps w:val="0"/>
          <w:color w:val="333333"/>
          <w:spacing w:val="0"/>
          <w:kern w:val="0"/>
          <w:sz w:val="36"/>
          <w:szCs w:val="36"/>
          <w:u w:val="single"/>
          <w:bdr w:val="none" w:color="auto" w:sz="0" w:space="0"/>
          <w:shd w:val="clear" w:fill="FFFFFF"/>
          <w:lang w:val="en-US" w:eastAsia="zh-CN" w:bidi="ar"/>
        </w:rPr>
        <w:t>晋城自然资告字[2024]004号</w:t>
      </w:r>
      <w:r>
        <w:rPr>
          <w:rStyle w:val="5"/>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w:t>
      </w:r>
    </w:p>
    <w:bookmarkEnd w:id="0"/>
    <w:p w14:paraId="767F3EF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经</w:t>
      </w:r>
      <w:r>
        <w:rPr>
          <w:rFonts w:hint="eastAsia" w:ascii="仿宋" w:hAnsi="仿宋" w:eastAsia="仿宋" w:cs="仿宋"/>
          <w:i w:val="0"/>
          <w:iCs w:val="0"/>
          <w:caps w:val="0"/>
          <w:color w:val="333333"/>
          <w:spacing w:val="0"/>
          <w:sz w:val="27"/>
          <w:szCs w:val="27"/>
          <w:u w:val="single"/>
          <w:bdr w:val="none" w:color="auto" w:sz="0" w:space="0"/>
          <w:shd w:val="clear" w:fill="FFFFFF"/>
        </w:rPr>
        <w:t>晋城市人民政府</w:t>
      </w:r>
      <w:r>
        <w:rPr>
          <w:rFonts w:hint="eastAsia" w:ascii="仿宋" w:hAnsi="仿宋" w:eastAsia="仿宋" w:cs="仿宋"/>
          <w:i w:val="0"/>
          <w:iCs w:val="0"/>
          <w:caps w:val="0"/>
          <w:color w:val="333333"/>
          <w:spacing w:val="0"/>
          <w:sz w:val="27"/>
          <w:szCs w:val="27"/>
          <w:bdr w:val="none" w:color="auto" w:sz="0" w:space="0"/>
          <w:shd w:val="clear" w:fill="FFFFFF"/>
        </w:rPr>
        <w:t>批准，</w:t>
      </w:r>
      <w:r>
        <w:rPr>
          <w:rFonts w:hint="eastAsia" w:ascii="仿宋" w:hAnsi="仿宋" w:eastAsia="仿宋" w:cs="仿宋"/>
          <w:i w:val="0"/>
          <w:iCs w:val="0"/>
          <w:caps w:val="0"/>
          <w:color w:val="333333"/>
          <w:spacing w:val="0"/>
          <w:sz w:val="27"/>
          <w:szCs w:val="27"/>
          <w:u w:val="single"/>
          <w:bdr w:val="none" w:color="auto" w:sz="0" w:space="0"/>
          <w:shd w:val="clear" w:fill="FFFFFF"/>
        </w:rPr>
        <w:t>晋城市规划和自然资源局</w:t>
      </w:r>
      <w:r>
        <w:rPr>
          <w:rFonts w:hint="eastAsia" w:ascii="仿宋" w:hAnsi="仿宋" w:eastAsia="仿宋" w:cs="仿宋"/>
          <w:i w:val="0"/>
          <w:iCs w:val="0"/>
          <w:caps w:val="0"/>
          <w:color w:val="333333"/>
          <w:spacing w:val="0"/>
          <w:sz w:val="27"/>
          <w:szCs w:val="27"/>
          <w:bdr w:val="none" w:color="auto" w:sz="0" w:space="0"/>
          <w:shd w:val="clear" w:fill="FFFFFF"/>
        </w:rPr>
        <w:t>决定以网上挂牌方式出让以下2（幅）宗地的国有建设用地使用权，并指定</w:t>
      </w:r>
      <w:r>
        <w:rPr>
          <w:rFonts w:hint="eastAsia" w:ascii="仿宋" w:hAnsi="仿宋" w:eastAsia="仿宋" w:cs="仿宋"/>
          <w:i w:val="0"/>
          <w:iCs w:val="0"/>
          <w:caps w:val="0"/>
          <w:color w:val="333333"/>
          <w:spacing w:val="0"/>
          <w:sz w:val="27"/>
          <w:szCs w:val="27"/>
          <w:u w:val="single"/>
          <w:bdr w:val="none" w:color="auto" w:sz="0" w:space="0"/>
          <w:shd w:val="clear" w:fill="FFFFFF"/>
        </w:rPr>
        <w:t>晋城市公共资源交易中心</w:t>
      </w:r>
      <w:r>
        <w:rPr>
          <w:rFonts w:hint="eastAsia" w:ascii="仿宋" w:hAnsi="仿宋" w:eastAsia="仿宋" w:cs="仿宋"/>
          <w:i w:val="0"/>
          <w:iCs w:val="0"/>
          <w:caps w:val="0"/>
          <w:color w:val="333333"/>
          <w:spacing w:val="0"/>
          <w:sz w:val="27"/>
          <w:szCs w:val="27"/>
          <w:bdr w:val="none" w:color="auto" w:sz="0" w:space="0"/>
          <w:shd w:val="clear" w:fill="FFFFFF"/>
        </w:rPr>
        <w:t>组织实施。现将有关事项公告如下：</w:t>
      </w:r>
    </w:p>
    <w:p w14:paraId="31E364B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一、挂牌宗地的基本情况和规划指标要求</w:t>
      </w:r>
    </w:p>
    <w:tbl>
      <w:tblPr>
        <w:tblW w:w="50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88"/>
        <w:gridCol w:w="461"/>
        <w:gridCol w:w="970"/>
        <w:gridCol w:w="800"/>
        <w:gridCol w:w="1055"/>
        <w:gridCol w:w="630"/>
        <w:gridCol w:w="800"/>
        <w:gridCol w:w="801"/>
        <w:gridCol w:w="830"/>
        <w:gridCol w:w="377"/>
        <w:gridCol w:w="462"/>
        <w:gridCol w:w="556"/>
        <w:gridCol w:w="292"/>
      </w:tblGrid>
      <w:tr w14:paraId="08EC2CE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outset" w:color="auto" w:sz="6" w:space="0"/>
              <w:left w:val="outset" w:color="auto" w:sz="6" w:space="0"/>
              <w:bottom w:val="outset" w:color="auto" w:sz="6" w:space="0"/>
              <w:right w:val="outset" w:color="auto" w:sz="6" w:space="0"/>
            </w:tcBorders>
            <w:shd w:val="clear"/>
            <w:vAlign w:val="center"/>
          </w:tcPr>
          <w:p w14:paraId="27C1B2A5">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序号</w:t>
            </w:r>
          </w:p>
        </w:tc>
        <w:tc>
          <w:tcPr>
            <w:tcW w:w="300" w:type="pct"/>
            <w:tcBorders>
              <w:top w:val="outset" w:color="auto" w:sz="6" w:space="0"/>
              <w:left w:val="outset" w:color="auto" w:sz="6" w:space="0"/>
              <w:bottom w:val="outset" w:color="auto" w:sz="6" w:space="0"/>
              <w:right w:val="outset" w:color="auto" w:sz="6" w:space="0"/>
            </w:tcBorders>
            <w:shd w:val="clear"/>
            <w:vAlign w:val="center"/>
          </w:tcPr>
          <w:p w14:paraId="730CAAEB">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宗地编号</w:t>
            </w:r>
          </w:p>
        </w:tc>
        <w:tc>
          <w:tcPr>
            <w:tcW w:w="600" w:type="pct"/>
            <w:tcBorders>
              <w:top w:val="outset" w:color="auto" w:sz="6" w:space="0"/>
              <w:left w:val="outset" w:color="auto" w:sz="6" w:space="0"/>
              <w:bottom w:val="outset" w:color="auto" w:sz="6" w:space="0"/>
              <w:right w:val="outset" w:color="auto" w:sz="6" w:space="0"/>
            </w:tcBorders>
            <w:shd w:val="clear"/>
            <w:vAlign w:val="center"/>
          </w:tcPr>
          <w:p w14:paraId="195E244C">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宗地位置</w:t>
            </w:r>
          </w:p>
        </w:tc>
        <w:tc>
          <w:tcPr>
            <w:tcW w:w="500" w:type="pct"/>
            <w:tcBorders>
              <w:top w:val="outset" w:color="auto" w:sz="6" w:space="0"/>
              <w:left w:val="outset" w:color="auto" w:sz="6" w:space="0"/>
              <w:bottom w:val="outset" w:color="auto" w:sz="6" w:space="0"/>
              <w:right w:val="outset" w:color="auto" w:sz="6" w:space="0"/>
            </w:tcBorders>
            <w:shd w:val="clear"/>
            <w:vAlign w:val="center"/>
          </w:tcPr>
          <w:p w14:paraId="2953D631">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宗地面积</w:t>
            </w:r>
          </w:p>
        </w:tc>
        <w:tc>
          <w:tcPr>
            <w:tcW w:w="650" w:type="pct"/>
            <w:tcBorders>
              <w:top w:val="outset" w:color="auto" w:sz="6" w:space="0"/>
              <w:left w:val="outset" w:color="auto" w:sz="6" w:space="0"/>
              <w:bottom w:val="outset" w:color="auto" w:sz="6" w:space="0"/>
              <w:right w:val="outset" w:color="auto" w:sz="6" w:space="0"/>
            </w:tcBorders>
            <w:shd w:val="clear"/>
            <w:vAlign w:val="center"/>
          </w:tcPr>
          <w:p w14:paraId="2166977C">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土地用途</w:t>
            </w:r>
          </w:p>
        </w:tc>
        <w:tc>
          <w:tcPr>
            <w:tcW w:w="400" w:type="pct"/>
            <w:tcBorders>
              <w:top w:val="outset" w:color="auto" w:sz="6" w:space="0"/>
              <w:left w:val="outset" w:color="auto" w:sz="6" w:space="0"/>
              <w:bottom w:val="outset" w:color="auto" w:sz="6" w:space="0"/>
              <w:right w:val="outset" w:color="auto" w:sz="6" w:space="0"/>
            </w:tcBorders>
            <w:shd w:val="clear"/>
            <w:vAlign w:val="center"/>
          </w:tcPr>
          <w:p w14:paraId="4A9553CF">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容积率</w:t>
            </w:r>
          </w:p>
        </w:tc>
        <w:tc>
          <w:tcPr>
            <w:tcW w:w="500" w:type="pct"/>
            <w:tcBorders>
              <w:top w:val="outset" w:color="auto" w:sz="6" w:space="0"/>
              <w:left w:val="outset" w:color="auto" w:sz="6" w:space="0"/>
              <w:bottom w:val="outset" w:color="auto" w:sz="6" w:space="0"/>
              <w:right w:val="outset" w:color="auto" w:sz="6" w:space="0"/>
            </w:tcBorders>
            <w:shd w:val="clear"/>
            <w:vAlign w:val="center"/>
          </w:tcPr>
          <w:p w14:paraId="20115F54">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建筑密度</w:t>
            </w:r>
            <w:r>
              <w:rPr>
                <w:rFonts w:hint="eastAsia" w:ascii="仿宋" w:hAnsi="仿宋" w:eastAsia="仿宋" w:cs="仿宋"/>
                <w:b/>
                <w:bCs/>
                <w:kern w:val="0"/>
                <w:sz w:val="27"/>
                <w:szCs w:val="27"/>
                <w:bdr w:val="none" w:color="auto" w:sz="0" w:space="0"/>
                <w:lang w:val="en-US" w:eastAsia="zh-CN" w:bidi="ar"/>
              </w:rPr>
              <w:br w:type="textWrapping"/>
            </w:r>
            <w:r>
              <w:rPr>
                <w:rFonts w:hint="eastAsia" w:ascii="仿宋" w:hAnsi="仿宋" w:eastAsia="仿宋" w:cs="仿宋"/>
                <w:b/>
                <w:bCs/>
                <w:kern w:val="0"/>
                <w:sz w:val="27"/>
                <w:szCs w:val="27"/>
                <w:bdr w:val="none" w:color="auto" w:sz="0" w:space="0"/>
                <w:lang w:val="en-US" w:eastAsia="zh-CN" w:bidi="ar"/>
              </w:rPr>
              <w:t>(建筑系数)</w:t>
            </w:r>
          </w:p>
        </w:tc>
        <w:tc>
          <w:tcPr>
            <w:tcW w:w="500" w:type="pct"/>
            <w:tcBorders>
              <w:top w:val="outset" w:color="auto" w:sz="6" w:space="0"/>
              <w:left w:val="outset" w:color="auto" w:sz="6" w:space="0"/>
              <w:bottom w:val="outset" w:color="auto" w:sz="6" w:space="0"/>
              <w:right w:val="outset" w:color="auto" w:sz="6" w:space="0"/>
            </w:tcBorders>
            <w:shd w:val="clear"/>
            <w:vAlign w:val="center"/>
          </w:tcPr>
          <w:p w14:paraId="299DC44B">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绿地率</w:t>
            </w:r>
          </w:p>
        </w:tc>
        <w:tc>
          <w:tcPr>
            <w:tcW w:w="250" w:type="pct"/>
            <w:tcBorders>
              <w:top w:val="outset" w:color="auto" w:sz="6" w:space="0"/>
              <w:left w:val="outset" w:color="auto" w:sz="6" w:space="0"/>
              <w:bottom w:val="outset" w:color="auto" w:sz="6" w:space="0"/>
              <w:right w:val="outset" w:color="auto" w:sz="6" w:space="0"/>
            </w:tcBorders>
            <w:shd w:val="clear"/>
            <w:vAlign w:val="center"/>
          </w:tcPr>
          <w:p w14:paraId="16BCB1AE">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建筑限高（米）</w:t>
            </w:r>
          </w:p>
        </w:tc>
        <w:tc>
          <w:tcPr>
            <w:tcW w:w="250" w:type="pct"/>
            <w:tcBorders>
              <w:top w:val="outset" w:color="auto" w:sz="6" w:space="0"/>
              <w:left w:val="outset" w:color="auto" w:sz="6" w:space="0"/>
              <w:bottom w:val="outset" w:color="auto" w:sz="6" w:space="0"/>
              <w:right w:val="outset" w:color="auto" w:sz="6" w:space="0"/>
            </w:tcBorders>
            <w:shd w:val="clear"/>
            <w:vAlign w:val="center"/>
          </w:tcPr>
          <w:p w14:paraId="2BA36E04">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出让年限</w:t>
            </w:r>
          </w:p>
        </w:tc>
        <w:tc>
          <w:tcPr>
            <w:tcW w:w="300" w:type="pct"/>
            <w:tcBorders>
              <w:top w:val="outset" w:color="auto" w:sz="6" w:space="0"/>
              <w:left w:val="outset" w:color="auto" w:sz="6" w:space="0"/>
              <w:bottom w:val="outset" w:color="auto" w:sz="6" w:space="0"/>
              <w:right w:val="outset" w:color="auto" w:sz="6" w:space="0"/>
            </w:tcBorders>
            <w:shd w:val="clear"/>
            <w:vAlign w:val="center"/>
          </w:tcPr>
          <w:p w14:paraId="74048E94">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起始价</w:t>
            </w:r>
          </w:p>
        </w:tc>
        <w:tc>
          <w:tcPr>
            <w:tcW w:w="300" w:type="pct"/>
            <w:tcBorders>
              <w:top w:val="outset" w:color="auto" w:sz="6" w:space="0"/>
              <w:left w:val="outset" w:color="auto" w:sz="6" w:space="0"/>
              <w:bottom w:val="outset" w:color="auto" w:sz="6" w:space="0"/>
              <w:right w:val="outset" w:color="auto" w:sz="6" w:space="0"/>
            </w:tcBorders>
            <w:shd w:val="clear"/>
            <w:vAlign w:val="center"/>
          </w:tcPr>
          <w:p w14:paraId="76C5BB6D">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保证金</w:t>
            </w:r>
          </w:p>
        </w:tc>
        <w:tc>
          <w:tcPr>
            <w:tcW w:w="200" w:type="pct"/>
            <w:tcBorders>
              <w:top w:val="outset" w:color="auto" w:sz="6" w:space="0"/>
              <w:left w:val="outset" w:color="auto" w:sz="6" w:space="0"/>
              <w:bottom w:val="outset" w:color="auto" w:sz="6" w:space="0"/>
              <w:right w:val="outset" w:color="auto" w:sz="6" w:space="0"/>
            </w:tcBorders>
            <w:shd w:val="clear"/>
            <w:vAlign w:val="center"/>
          </w:tcPr>
          <w:p w14:paraId="452F9EF6">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加价幅度</w:t>
            </w:r>
          </w:p>
        </w:tc>
      </w:tr>
      <w:tr w14:paraId="7C742E4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14:paraId="663B4B04">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1A13294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JC2023-25</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4DCAE7C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景西路东侧、中原街北侧</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31778F8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6667平方米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5EA6D67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商服（便民市场）</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544BA2E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0.8≤且≤1.2</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728056E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≤50%</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2C10936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≥15%</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41AF10C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≤12</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105684B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40年</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7A31B0A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1000万元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6880574D">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800万元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7379DFC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10万元</w:t>
            </w:r>
          </w:p>
        </w:tc>
      </w:tr>
      <w:tr w14:paraId="2ED3857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14:paraId="73EC8EC0">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39F83F1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JC2023-35</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520FBA9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景西路东侧、英雄路南侧</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16517FD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9300平方米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17C8DA1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商服</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3E4269F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≤2.2</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66D9093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≤45%</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4D6712F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≥25%</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4347EA4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≤30</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0FB766D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40年</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159C24E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2900万元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549E1ECF">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1000万元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7A8E5B7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30万元</w:t>
            </w:r>
          </w:p>
        </w:tc>
      </w:tr>
    </w:tbl>
    <w:p w14:paraId="2F02B62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具体以规划部门出具的规划指标为准，详见《规划条件书》。</w:t>
      </w:r>
    </w:p>
    <w:p w14:paraId="28E530C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二、竞买申请条件和要求。</w:t>
      </w:r>
    </w:p>
    <w:p w14:paraId="60A531D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中华人民共和国境内外的法人、自然人和其他组织，除法律、法规另有规定外，均可参加本次国有建设用地使用权网上挂牌活动。</w:t>
      </w:r>
    </w:p>
    <w:p w14:paraId="5D0CA37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三、确定竞得入选人方式。</w:t>
      </w:r>
    </w:p>
    <w:p w14:paraId="1EA7D28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本次国有建设用地使用权网上挂牌出让按照报价最高且不低于底价者的原则确定竞得入选人。</w:t>
      </w:r>
    </w:p>
    <w:p w14:paraId="1DF4EE5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四、报名及保证金截止时间。</w:t>
      </w:r>
    </w:p>
    <w:p w14:paraId="3463AE4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竞买申请人可在</w:t>
      </w:r>
      <w:r>
        <w:rPr>
          <w:rFonts w:hint="eastAsia" w:ascii="仿宋" w:hAnsi="仿宋" w:eastAsia="仿宋" w:cs="仿宋"/>
          <w:i w:val="0"/>
          <w:iCs w:val="0"/>
          <w:caps w:val="0"/>
          <w:color w:val="333333"/>
          <w:spacing w:val="0"/>
          <w:sz w:val="27"/>
          <w:szCs w:val="27"/>
          <w:u w:val="single"/>
          <w:bdr w:val="none" w:color="auto" w:sz="0" w:space="0"/>
          <w:shd w:val="clear" w:fill="FFFFFF"/>
        </w:rPr>
        <w:t>2024年04月23日09时00分至2024年05月13日17时00分</w:t>
      </w:r>
      <w:r>
        <w:rPr>
          <w:rFonts w:hint="eastAsia" w:ascii="仿宋" w:hAnsi="仿宋" w:eastAsia="仿宋" w:cs="仿宋"/>
          <w:i w:val="0"/>
          <w:iCs w:val="0"/>
          <w:caps w:val="0"/>
          <w:color w:val="333333"/>
          <w:spacing w:val="0"/>
          <w:sz w:val="27"/>
          <w:szCs w:val="27"/>
          <w:bdr w:val="none" w:color="auto" w:sz="0" w:space="0"/>
          <w:shd w:val="clear" w:fill="FFFFFF"/>
        </w:rPr>
        <w:t>登录山西省国有建设用地使用权网上交易系统，提交申请。竞买保证金到账截止时间为</w:t>
      </w:r>
      <w:r>
        <w:rPr>
          <w:rFonts w:hint="eastAsia" w:ascii="仿宋" w:hAnsi="仿宋" w:eastAsia="仿宋" w:cs="仿宋"/>
          <w:i w:val="0"/>
          <w:iCs w:val="0"/>
          <w:caps w:val="0"/>
          <w:color w:val="333333"/>
          <w:spacing w:val="0"/>
          <w:sz w:val="27"/>
          <w:szCs w:val="27"/>
          <w:u w:val="single"/>
          <w:bdr w:val="none" w:color="auto" w:sz="0" w:space="0"/>
          <w:shd w:val="clear" w:fill="FFFFFF"/>
        </w:rPr>
        <w:t>2024年05月13日17时00分</w:t>
      </w:r>
      <w:r>
        <w:rPr>
          <w:rFonts w:hint="eastAsia" w:ascii="仿宋" w:hAnsi="仿宋" w:eastAsia="仿宋" w:cs="仿宋"/>
          <w:i w:val="0"/>
          <w:iCs w:val="0"/>
          <w:caps w:val="0"/>
          <w:color w:val="333333"/>
          <w:spacing w:val="0"/>
          <w:sz w:val="27"/>
          <w:szCs w:val="27"/>
          <w:bdr w:val="none" w:color="auto" w:sz="0" w:space="0"/>
          <w:shd w:val="clear" w:fill="FFFFFF"/>
        </w:rPr>
        <w:t>。</w:t>
      </w:r>
    </w:p>
    <w:p w14:paraId="350108C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温馨提示：</w:t>
      </w:r>
    </w:p>
    <w:p w14:paraId="0ECE265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1、竞买人必须将竞买保证金交入网上交易系统生成的竞买保证金子账号内。</w:t>
      </w:r>
    </w:p>
    <w:p w14:paraId="14E54BC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2、为避免因竞买保证金到账时间延误，影响您顺利获取网上交易竞买资格，建议您在保证金到账截止时间的1至2天之前交纳竞买保证金。</w:t>
      </w:r>
    </w:p>
    <w:p w14:paraId="541080D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五、挂牌时间及网址。</w:t>
      </w:r>
    </w:p>
    <w:p w14:paraId="61E8B33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挂牌报价时间为：</w:t>
      </w:r>
    </w:p>
    <w:p w14:paraId="6B5A370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u w:val="single"/>
          <w:bdr w:val="none" w:color="auto" w:sz="0" w:space="0"/>
          <w:shd w:val="clear" w:fill="FFFFFF"/>
        </w:rPr>
        <w:t>JC2023-25</w:t>
      </w:r>
      <w:r>
        <w:rPr>
          <w:rFonts w:hint="eastAsia" w:ascii="仿宋" w:hAnsi="仿宋" w:eastAsia="仿宋" w:cs="仿宋"/>
          <w:i w:val="0"/>
          <w:iCs w:val="0"/>
          <w:caps w:val="0"/>
          <w:color w:val="333333"/>
          <w:spacing w:val="0"/>
          <w:sz w:val="27"/>
          <w:szCs w:val="27"/>
          <w:bdr w:val="none" w:color="auto" w:sz="0" w:space="0"/>
          <w:shd w:val="clear" w:fill="FFFFFF"/>
        </w:rPr>
        <w:t>号宗地：</w:t>
      </w:r>
      <w:r>
        <w:rPr>
          <w:rFonts w:hint="eastAsia" w:ascii="仿宋" w:hAnsi="仿宋" w:eastAsia="仿宋" w:cs="仿宋"/>
          <w:i w:val="0"/>
          <w:iCs w:val="0"/>
          <w:caps w:val="0"/>
          <w:color w:val="333333"/>
          <w:spacing w:val="0"/>
          <w:sz w:val="27"/>
          <w:szCs w:val="27"/>
          <w:u w:val="single"/>
          <w:bdr w:val="none" w:color="auto" w:sz="0" w:space="0"/>
          <w:shd w:val="clear" w:fill="FFFFFF"/>
        </w:rPr>
        <w:t>2024-05-14 09:00:00至2024-05-28 10:30:00</w:t>
      </w:r>
      <w:r>
        <w:rPr>
          <w:rFonts w:hint="eastAsia" w:ascii="仿宋" w:hAnsi="仿宋" w:eastAsia="仿宋" w:cs="仿宋"/>
          <w:i w:val="0"/>
          <w:iCs w:val="0"/>
          <w:caps w:val="0"/>
          <w:color w:val="333333"/>
          <w:spacing w:val="0"/>
          <w:sz w:val="27"/>
          <w:szCs w:val="27"/>
          <w:bdr w:val="none" w:color="auto" w:sz="0" w:space="0"/>
          <w:shd w:val="clear" w:fill="FFFFFF"/>
        </w:rPr>
        <w:t>。</w:t>
      </w:r>
    </w:p>
    <w:p w14:paraId="7225838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u w:val="single"/>
          <w:bdr w:val="none" w:color="auto" w:sz="0" w:space="0"/>
          <w:shd w:val="clear" w:fill="FFFFFF"/>
        </w:rPr>
        <w:t>JC2023-35</w:t>
      </w:r>
      <w:r>
        <w:rPr>
          <w:rFonts w:hint="eastAsia" w:ascii="仿宋" w:hAnsi="仿宋" w:eastAsia="仿宋" w:cs="仿宋"/>
          <w:i w:val="0"/>
          <w:iCs w:val="0"/>
          <w:caps w:val="0"/>
          <w:color w:val="333333"/>
          <w:spacing w:val="0"/>
          <w:sz w:val="27"/>
          <w:szCs w:val="27"/>
          <w:bdr w:val="none" w:color="auto" w:sz="0" w:space="0"/>
          <w:shd w:val="clear" w:fill="FFFFFF"/>
        </w:rPr>
        <w:t>号宗地：</w:t>
      </w:r>
      <w:r>
        <w:rPr>
          <w:rFonts w:hint="eastAsia" w:ascii="仿宋" w:hAnsi="仿宋" w:eastAsia="仿宋" w:cs="仿宋"/>
          <w:i w:val="0"/>
          <w:iCs w:val="0"/>
          <w:caps w:val="0"/>
          <w:color w:val="333333"/>
          <w:spacing w:val="0"/>
          <w:sz w:val="27"/>
          <w:szCs w:val="27"/>
          <w:u w:val="single"/>
          <w:bdr w:val="none" w:color="auto" w:sz="0" w:space="0"/>
          <w:shd w:val="clear" w:fill="FFFFFF"/>
        </w:rPr>
        <w:t>2024-05-14 09:00:00至2024-05-28 10:30:00</w:t>
      </w:r>
      <w:r>
        <w:rPr>
          <w:rFonts w:hint="eastAsia" w:ascii="仿宋" w:hAnsi="仿宋" w:eastAsia="仿宋" w:cs="仿宋"/>
          <w:i w:val="0"/>
          <w:iCs w:val="0"/>
          <w:caps w:val="0"/>
          <w:color w:val="333333"/>
          <w:spacing w:val="0"/>
          <w:sz w:val="27"/>
          <w:szCs w:val="27"/>
          <w:bdr w:val="none" w:color="auto" w:sz="0" w:space="0"/>
          <w:shd w:val="clear" w:fill="FFFFFF"/>
        </w:rPr>
        <w:t>。</w:t>
      </w:r>
    </w:p>
    <w:p w14:paraId="6D90A86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挂牌网址：网上交易系统（https://zrzyt.shanxi.gov.cn/sxjy/）。</w:t>
      </w:r>
    </w:p>
    <w:p w14:paraId="696C94C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六、出让资料获取方式。</w:t>
      </w:r>
    </w:p>
    <w:p w14:paraId="39680C2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本次挂牌出让的详细资料和具体要求，见挂牌出让须知及其他出让文件。挂牌出让须知及其他出让文件可从网上交易系统查看和下载。</w:t>
      </w:r>
    </w:p>
    <w:p w14:paraId="6613512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七、资格审查。</w:t>
      </w:r>
    </w:p>
    <w:p w14:paraId="5E4D30E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国有建设用地使用权网上出让实行竞得入选人资格后审制度，即竞买申请人在网上交易系统按规定递交竞买申请并按时足额交纳了竞买保证金后，网上交易系统将自动颁发《国有建设用地使用权竞买资格确认书》，确认其竞买资格，交易机构只对网上交易的竞得入选人进行资格审查。如因竞得入选人的资格审查未通过，造成本次出让宗地不成交的，由竞得入选人自行承当相应责任。</w:t>
      </w:r>
    </w:p>
    <w:p w14:paraId="0A4C3E1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八、风险提示。</w:t>
      </w:r>
    </w:p>
    <w:p w14:paraId="5F0F638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竞买人应该谨慎报价，报价一经提交，不得修改或者撤回。网上挂牌报价截止之前，竞买人至少进行一次有效报价才有资格参加限时竞价。</w:t>
      </w:r>
    </w:p>
    <w:p w14:paraId="7392DC2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操作系统请使用Win10，浏览器请使用谷歌、火狐，其它操作系统与浏览器可能会对网上交易操作有影响。数字证书驱动到网上交易系统下载，并正确安装。竞买人应在竞买前仔细检查自己电脑和网络运行环境。</w:t>
      </w:r>
    </w:p>
    <w:p w14:paraId="2178AE8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75" w:beforeAutospacing="0" w:after="270" w:afterAutospacing="0" w:line="560" w:lineRule="exact"/>
        <w:ind w:left="75" w:right="75" w:firstLine="600"/>
        <w:jc w:val="left"/>
        <w:textAlignment w:val="auto"/>
        <w:rPr>
          <w:rFonts w:hint="eastAsia" w:ascii="仿宋" w:hAnsi="仿宋" w:eastAsia="仿宋" w:cs="仿宋"/>
          <w:i w:val="0"/>
          <w:iCs w:val="0"/>
          <w:caps w:val="0"/>
          <w:color w:val="333333"/>
          <w:spacing w:val="0"/>
          <w:sz w:val="27"/>
          <w:szCs w:val="27"/>
        </w:rPr>
      </w:pPr>
    </w:p>
    <w:p w14:paraId="6F9D3AD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特此公告</w:t>
      </w:r>
    </w:p>
    <w:p w14:paraId="61CA840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联系电话：0356-2218428</w:t>
      </w:r>
    </w:p>
    <w:p w14:paraId="352039A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firstLine="420"/>
        <w:jc w:val="left"/>
        <w:textAlignment w:val="auto"/>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联系人：郭颀 程娜</w:t>
      </w:r>
    </w:p>
    <w:p w14:paraId="0303403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jc w:val="right"/>
        <w:textAlignment w:val="auto"/>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晋城市规划和自然资源局</w:t>
      </w:r>
    </w:p>
    <w:p w14:paraId="65634E4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76" w:beforeAutospacing="0" w:after="76" w:afterAutospacing="0" w:line="560" w:lineRule="exact"/>
        <w:ind w:left="76" w:right="76"/>
        <w:jc w:val="right"/>
        <w:textAlignment w:val="auto"/>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2024年04月23日</w:t>
      </w:r>
    </w:p>
    <w:p w14:paraId="73CCA5A4">
      <w:pPr>
        <w:keepNext w:val="0"/>
        <w:keepLines w:val="0"/>
        <w:pageBreakBefore w:val="0"/>
        <w:kinsoku/>
        <w:overflowPunct/>
        <w:topLinePunct w:val="0"/>
        <w:autoSpaceDE/>
        <w:autoSpaceDN/>
        <w:bidi w:val="0"/>
        <w:adjustRightInd/>
        <w:snapToGrid/>
        <w:spacing w:line="56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jMjA2YzRiMzE0OGJiOTRjNzI1ZDgzZjJiMDFmZjgifQ=="/>
  </w:docVars>
  <w:rsids>
    <w:rsidRoot w:val="39E72BC8"/>
    <w:rsid w:val="39E72B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2024-07-08T10:26:00Z</dcterms:created>
  <dc:creator>Master Wang ❤</dc:creator>
  <cp:lastModifiedBy>Master Wang ❤</cp:lastModifiedBy>
  <dcterms:modified xsi:type="dcterms:W3CDTF">2024-07-08T10:27:58Z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4FAC3650E1824E41946F40E6364343B9_11</vt:lpwstr>
  </property>
</Properties>
</file>